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spacing w:after="0" w:line="276" w:lineRule="auto"/>
        <w:jc w:val="center"/>
        <w:rPr>
          <w:color w:val="073763"/>
        </w:rPr>
      </w:pPr>
      <w:r w:rsidDel="00000000" w:rsidR="00000000" w:rsidRPr="00000000">
        <w:rPr>
          <w:rFonts w:ascii="Montserrat ExtraBold" w:cs="Montserrat ExtraBold" w:eastAsia="Montserrat ExtraBold" w:hAnsi="Montserrat ExtraBold"/>
          <w:color w:val="073763"/>
          <w:sz w:val="24"/>
          <w:szCs w:val="24"/>
          <w:rtl w:val="0"/>
        </w:rPr>
        <w:t xml:space="preserve">LIFE-BECKON </w:t>
      </w:r>
      <w:r w:rsidDel="00000000" w:rsidR="00000000" w:rsidRPr="00000000">
        <w:rPr>
          <w:rtl w:val="0"/>
        </w:rPr>
      </w:r>
    </w:p>
    <w:p w:rsidR="00000000" w:rsidDel="00000000" w:rsidP="00000000" w:rsidRDefault="00000000" w:rsidRPr="00000000" w14:paraId="00000003">
      <w:pPr>
        <w:spacing w:after="0" w:line="276" w:lineRule="auto"/>
        <w:jc w:val="center"/>
        <w:rPr>
          <w:color w:val="3d85c6"/>
          <w:sz w:val="20"/>
          <w:szCs w:val="20"/>
        </w:rPr>
      </w:pPr>
      <w:r w:rsidDel="00000000" w:rsidR="00000000" w:rsidRPr="00000000">
        <w:rPr>
          <w:i w:val="1"/>
          <w:iCs w:val="1"/>
          <w:color w:val="3d85c6"/>
          <w:sz w:val="20"/>
          <w:szCs w:val="20"/>
          <w:rtl w:val="0"/>
        </w:rPr>
        <w:t xml:space="preserve">Boosting Energy Communities massive deployment by equipping loc</w:t>
      </w:r>
      <w:r w:rsidDel="00000000" w:rsidR="00000000" w:rsidRPr="00000000">
        <w:rPr>
          <w:color w:val="3d85c6"/>
          <w:sz w:val="20"/>
          <w:szCs w:val="20"/>
          <w:rtl w:val="0"/>
        </w:rPr>
        <w:t xml:space="preserve">al authorities with comprehensive technical assistance cooKboOk, integrated services and capacity buildiNg</w:t>
      </w:r>
    </w:p>
    <w:p w:rsidR="00000000" w:rsidDel="00000000" w:rsidP="00000000" w:rsidRDefault="00000000" w:rsidRPr="00000000" w14:paraId="00000004">
      <w:pPr>
        <w:spacing w:after="0" w:line="276" w:lineRule="auto"/>
        <w:jc w:val="center"/>
        <w:rPr>
          <w:color w:val="3d85c6"/>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2352675</wp:posOffset>
            </wp:positionH>
            <wp:positionV relativeFrom="paragraph">
              <wp:posOffset>116990</wp:posOffset>
            </wp:positionV>
            <wp:extent cx="1138238" cy="917559"/>
            <wp:effectExtent b="0" l="0" r="0" t="0"/>
            <wp:wrapNone/>
            <wp:docPr id="1" name="image10.jpg"/>
            <a:graphic>
              <a:graphicData uri="http://schemas.openxmlformats.org/drawingml/2006/picture">
                <pic:pic>
                  <pic:nvPicPr>
                    <pic:cNvPr id="0" name="image10.jpg"/>
                    <pic:cNvPicPr preferRelativeResize="0"/>
                  </pic:nvPicPr>
                  <pic:blipFill>
                    <a:blip r:embed="rId7"/>
                    <a:srcRect b="0" l="12675" r="11267" t="0"/>
                    <a:stretch>
                      <a:fillRect/>
                    </a:stretch>
                  </pic:blipFill>
                  <pic:spPr>
                    <a:xfrm>
                      <a:off x="0" y="0"/>
                      <a:ext cx="1138238" cy="917559"/>
                    </a:xfrm>
                    <a:prstGeom prst="rect"/>
                    <a:ln/>
                  </pic:spPr>
                </pic:pic>
              </a:graphicData>
            </a:graphic>
          </wp:anchor>
        </w:drawing>
      </w:r>
    </w:p>
    <w:p w:rsidR="00000000" w:rsidDel="00000000" w:rsidP="00000000" w:rsidRDefault="00000000" w:rsidRPr="00000000" w14:paraId="00000005">
      <w:pPr>
        <w:spacing w:after="0" w:line="276" w:lineRule="auto"/>
        <w:jc w:val="center"/>
        <w:rPr>
          <w:color w:val="3d85c6"/>
          <w:sz w:val="20"/>
          <w:szCs w:val="20"/>
        </w:rPr>
      </w:pPr>
      <w:r w:rsidDel="00000000" w:rsidR="00000000" w:rsidRPr="00000000">
        <w:rPr>
          <w:rtl w:val="0"/>
        </w:rPr>
      </w:r>
    </w:p>
    <w:p w:rsidR="00000000" w:rsidDel="00000000" w:rsidP="00000000" w:rsidRDefault="00000000" w:rsidRPr="00000000" w14:paraId="00000006">
      <w:pPr>
        <w:spacing w:after="0" w:line="276" w:lineRule="auto"/>
        <w:jc w:val="center"/>
        <w:rPr>
          <w:color w:val="3d85c6"/>
          <w:sz w:val="20"/>
          <w:szCs w:val="20"/>
        </w:rPr>
      </w:pPr>
      <w:r w:rsidDel="00000000" w:rsidR="00000000" w:rsidRPr="00000000">
        <w:rPr>
          <w:rtl w:val="0"/>
        </w:rPr>
      </w:r>
    </w:p>
    <w:p w:rsidR="00000000" w:rsidDel="00000000" w:rsidP="00000000" w:rsidRDefault="00000000" w:rsidRPr="00000000" w14:paraId="00000007">
      <w:pPr>
        <w:spacing w:after="0" w:line="276" w:lineRule="auto"/>
        <w:jc w:val="center"/>
        <w:rPr>
          <w:color w:val="1c4587"/>
          <w:sz w:val="20"/>
          <w:szCs w:val="20"/>
        </w:rPr>
      </w:pPr>
      <w:r w:rsidDel="00000000" w:rsidR="00000000" w:rsidRPr="00000000">
        <w:rPr>
          <w:rtl w:val="0"/>
        </w:rPr>
      </w:r>
    </w:p>
    <w:p w:rsidR="00000000" w:rsidDel="00000000" w:rsidP="00000000" w:rsidRDefault="00000000" w:rsidRPr="00000000" w14:paraId="00000008">
      <w:pPr>
        <w:spacing w:after="0" w:line="276" w:lineRule="auto"/>
        <w:jc w:val="center"/>
        <w:rPr>
          <w:color w:val="1c4587"/>
          <w:sz w:val="20"/>
          <w:szCs w:val="20"/>
        </w:rPr>
      </w:pPr>
      <w:r w:rsidDel="00000000" w:rsidR="00000000" w:rsidRPr="00000000">
        <w:rPr>
          <w:rtl w:val="0"/>
        </w:rPr>
      </w:r>
    </w:p>
    <w:p w:rsidR="00000000" w:rsidDel="00000000" w:rsidP="00000000" w:rsidRDefault="00000000" w:rsidRPr="00000000" w14:paraId="00000009">
      <w:pPr>
        <w:spacing w:after="0" w:line="276" w:lineRule="auto"/>
        <w:jc w:val="center"/>
        <w:rPr>
          <w:color w:val="1c4587"/>
          <w:sz w:val="20"/>
          <w:szCs w:val="20"/>
        </w:rPr>
      </w:pPr>
      <w:r w:rsidDel="00000000" w:rsidR="00000000" w:rsidRPr="00000000">
        <w:rPr>
          <w:rtl w:val="0"/>
        </w:rPr>
      </w:r>
    </w:p>
    <w:p w:rsidR="00000000" w:rsidDel="00000000" w:rsidP="00000000" w:rsidRDefault="00000000" w:rsidRPr="00000000" w14:paraId="0000000A">
      <w:pPr>
        <w:spacing w:after="0" w:line="276" w:lineRule="auto"/>
        <w:jc w:val="center"/>
        <w:rPr>
          <w:color w:val="1c4587"/>
          <w:sz w:val="20"/>
          <w:szCs w:val="20"/>
        </w:rPr>
      </w:pPr>
      <w:r w:rsidDel="00000000" w:rsidR="00000000" w:rsidRPr="00000000">
        <w:rPr>
          <w:rtl w:val="0"/>
        </w:rPr>
      </w:r>
    </w:p>
    <w:p w:rsidR="00000000" w:rsidDel="00000000" w:rsidP="00000000" w:rsidRDefault="00000000" w:rsidRPr="00000000" w14:paraId="0000000B">
      <w:pPr>
        <w:spacing w:after="0" w:line="276" w:lineRule="auto"/>
        <w:jc w:val="center"/>
        <w:rPr>
          <w:color w:val="1c4587"/>
          <w:sz w:val="20"/>
          <w:szCs w:val="20"/>
        </w:rPr>
      </w:pPr>
      <w:r w:rsidDel="00000000" w:rsidR="00000000" w:rsidRPr="00000000">
        <w:rPr>
          <w:color w:val="1c4587"/>
          <w:sz w:val="20"/>
          <w:szCs w:val="20"/>
          <w:rtl w:val="0"/>
        </w:rPr>
        <w:t xml:space="preserve">Grant Agreement: 101076765</w:t>
      </w:r>
    </w:p>
    <w:p w:rsidR="00000000" w:rsidDel="00000000" w:rsidP="00000000" w:rsidRDefault="00000000" w:rsidRPr="00000000" w14:paraId="0000000C">
      <w:pPr>
        <w:tabs>
          <w:tab w:val="right" w:leader="none" w:pos="9071"/>
        </w:tabs>
        <w:spacing w:after="0" w:line="276" w:lineRule="auto"/>
        <w:jc w:val="left"/>
        <w:rPr>
          <w:rFonts w:ascii="Montserrat" w:cs="Montserrat" w:eastAsia="Montserrat" w:hAnsi="Montserrat"/>
          <w:b w:val="1"/>
          <w:bCs w:val="1"/>
          <w:color w:val="04a797"/>
          <w:sz w:val="52"/>
          <w:szCs w:val="52"/>
          <w:u w:val="single"/>
        </w:rPr>
      </w:pPr>
      <w:r w:rsidDel="00000000" w:rsidR="00000000" w:rsidRPr="00000000">
        <w:rPr>
          <w:rtl w:val="0"/>
        </w:rPr>
      </w:r>
    </w:p>
    <w:p w:rsidR="00000000" w:rsidDel="00000000" w:rsidP="00000000" w:rsidRDefault="00000000" w:rsidRPr="00000000" w14:paraId="0000000D">
      <w:pPr>
        <w:tabs>
          <w:tab w:val="right" w:leader="none" w:pos="9071"/>
        </w:tabs>
        <w:spacing w:after="0" w:line="276" w:lineRule="auto"/>
        <w:jc w:val="center"/>
        <w:rPr>
          <w:rFonts w:ascii="Montserrat" w:cs="Montserrat" w:eastAsia="Montserrat" w:hAnsi="Montserrat"/>
          <w:b w:val="1"/>
          <w:bCs w:val="1"/>
          <w:color w:val="0b5159"/>
          <w:sz w:val="52"/>
          <w:szCs w:val="52"/>
        </w:rPr>
      </w:pPr>
      <w:r w:rsidDel="00000000" w:rsidR="00000000" w:rsidRPr="00000000">
        <w:rPr>
          <w:rFonts w:ascii="Montserrat" w:cs="Montserrat" w:eastAsia="Montserrat" w:hAnsi="Montserrat"/>
          <w:b w:val="1"/>
          <w:bCs w:val="1"/>
          <w:color w:val="04a797"/>
          <w:sz w:val="50"/>
          <w:szCs w:val="50"/>
          <w:u w:val="single"/>
          <w:rtl w:val="0"/>
        </w:rPr>
        <w:t xml:space="preserve">Environmental and social action plan (ESAP)</w:t>
      </w:r>
      <w:r w:rsidDel="00000000" w:rsidR="00000000" w:rsidRPr="00000000">
        <w:rPr>
          <w:rtl w:val="0"/>
        </w:rPr>
      </w:r>
    </w:p>
    <w:p w:rsidR="00000000" w:rsidDel="00000000" w:rsidP="00000000" w:rsidRDefault="00000000" w:rsidRPr="00000000" w14:paraId="0000000E">
      <w:pPr>
        <w:spacing w:after="0" w:before="200" w:line="276" w:lineRule="auto"/>
        <w:jc w:val="center"/>
        <w:rPr>
          <w:color w:val="1c4587"/>
          <w:sz w:val="20"/>
          <w:szCs w:val="20"/>
        </w:rPr>
      </w:pPr>
      <w:r w:rsidDel="00000000" w:rsidR="00000000" w:rsidRPr="00000000">
        <w:rPr>
          <w:b w:val="1"/>
          <w:bCs w:val="1"/>
          <w:color w:val="1c4587"/>
          <w:sz w:val="20"/>
          <w:szCs w:val="20"/>
          <w:rtl w:val="0"/>
        </w:rPr>
        <w:t xml:space="preserve">Author: Asier Larretxea Barja  (WEG)</w:t>
      </w:r>
      <w:r w:rsidDel="00000000" w:rsidR="00000000" w:rsidRPr="00000000">
        <w:rPr>
          <w:color w:val="1c4587"/>
          <w:sz w:val="20"/>
          <w:szCs w:val="20"/>
          <w:rtl w:val="0"/>
        </w:rPr>
        <w:t xml:space="preserve">  </w:t>
      </w:r>
    </w:p>
    <w:p w:rsidR="00000000" w:rsidDel="00000000" w:rsidP="00000000" w:rsidRDefault="00000000" w:rsidRPr="00000000" w14:paraId="0000000F">
      <w:pPr>
        <w:tabs>
          <w:tab w:val="right" w:leader="none" w:pos="9071"/>
        </w:tabs>
        <w:spacing w:after="0" w:before="200" w:line="276" w:lineRule="auto"/>
        <w:jc w:val="left"/>
        <w:rPr>
          <w:b w:val="1"/>
          <w:bCs w:val="1"/>
          <w:color w:val="0b5159"/>
          <w:sz w:val="20"/>
          <w:szCs w:val="20"/>
          <w:highlight w:val="yellow"/>
        </w:rPr>
      </w:pPr>
      <w:r w:rsidDel="00000000" w:rsidR="00000000" w:rsidRPr="00000000">
        <w:rPr>
          <w:rtl w:val="0"/>
        </w:rPr>
      </w:r>
    </w:p>
    <w:p w:rsidR="00000000" w:rsidDel="00000000" w:rsidP="00000000" w:rsidRDefault="00000000" w:rsidRPr="00000000" w14:paraId="00000010">
      <w:pPr>
        <w:widowControl w:val="0"/>
        <w:spacing w:after="0" w:line="276" w:lineRule="auto"/>
        <w:ind w:left="141.73228346456688" w:right="-15.11811023621874" w:firstLine="0"/>
        <w:rPr>
          <w:color w:val="0b5394"/>
        </w:rPr>
      </w:pPr>
      <w:r w:rsidDel="00000000" w:rsidR="00000000" w:rsidRPr="00000000">
        <w:rPr>
          <w:color w:val="0b5394"/>
          <w:rtl w:val="0"/>
        </w:rPr>
        <w:t xml:space="preserve">The Environmental and Social Action Plan (ESAP) is a tool proposed to ensure that any outstanding environmental and social issues during the implementation of an energy community project is pre- assessed and monitored in a timely and appropriate manner, as well as to ensure continued compliance with environmental and social requirements and the requirements of national law</w:t>
      </w:r>
    </w:p>
    <w:p w:rsidR="00000000" w:rsidDel="00000000" w:rsidP="00000000" w:rsidRDefault="00000000" w:rsidRPr="00000000" w14:paraId="00000011">
      <w:pPr>
        <w:widowControl w:val="0"/>
        <w:spacing w:after="0" w:line="276" w:lineRule="auto"/>
        <w:ind w:left="141.73228346456688" w:right="-15.11811023621874" w:firstLine="0"/>
        <w:rPr>
          <w:color w:val="0b5394"/>
        </w:rPr>
      </w:pPr>
      <w:r w:rsidDel="00000000" w:rsidR="00000000" w:rsidRPr="00000000">
        <w:rPr>
          <w:rtl w:val="0"/>
        </w:rPr>
      </w:r>
    </w:p>
    <w:p w:rsidR="00000000" w:rsidDel="00000000" w:rsidP="00000000" w:rsidRDefault="00000000" w:rsidRPr="00000000" w14:paraId="00000012">
      <w:pPr>
        <w:widowControl w:val="0"/>
        <w:spacing w:after="0" w:line="276" w:lineRule="auto"/>
        <w:ind w:left="141.73228346456688" w:right="-15.11811023621874" w:firstLine="0"/>
        <w:rPr>
          <w:color w:val="0b5394"/>
        </w:rPr>
      </w:pPr>
      <w:r w:rsidDel="00000000" w:rsidR="00000000" w:rsidRPr="00000000">
        <w:rPr>
          <w:rtl w:val="0"/>
        </w:rPr>
      </w:r>
    </w:p>
    <w:p w:rsidR="00000000" w:rsidDel="00000000" w:rsidP="00000000" w:rsidRDefault="00000000" w:rsidRPr="00000000" w14:paraId="00000013">
      <w:pPr>
        <w:widowControl w:val="0"/>
        <w:spacing w:after="0" w:line="276" w:lineRule="auto"/>
        <w:ind w:right="-15.11811023621874"/>
        <w:rPr>
          <w:color w:val="0b5394"/>
        </w:rPr>
      </w:pPr>
      <w:r w:rsidDel="00000000" w:rsidR="00000000" w:rsidRPr="00000000">
        <w:rPr>
          <w:rtl w:val="0"/>
        </w:rPr>
      </w:r>
    </w:p>
    <w:p w:rsidR="00000000" w:rsidDel="00000000" w:rsidP="00000000" w:rsidRDefault="00000000" w:rsidRPr="00000000" w14:paraId="00000014">
      <w:pPr>
        <w:widowControl w:val="0"/>
        <w:spacing w:after="0" w:line="276" w:lineRule="auto"/>
        <w:ind w:left="141.73228346456688" w:right="-15.11811023621874" w:firstLine="0"/>
        <w:rPr>
          <w:color w:val="0b5394"/>
        </w:rPr>
      </w:pPr>
      <w:r w:rsidDel="00000000" w:rsidR="00000000" w:rsidRPr="00000000">
        <w:rPr>
          <w:rtl w:val="0"/>
        </w:rPr>
      </w:r>
    </w:p>
    <w:p w:rsidR="00000000" w:rsidDel="00000000" w:rsidP="00000000" w:rsidRDefault="00000000" w:rsidRPr="00000000" w14:paraId="00000015">
      <w:pPr>
        <w:widowControl w:val="0"/>
        <w:spacing w:after="0" w:line="276" w:lineRule="auto"/>
        <w:ind w:left="141.73228346456688" w:right="-15.11811023621874" w:firstLine="0"/>
        <w:rPr>
          <w:color w:val="0b5394"/>
        </w:rPr>
      </w:pPr>
      <w:r w:rsidDel="00000000" w:rsidR="00000000" w:rsidRPr="00000000">
        <w:rPr>
          <w:rtl w:val="0"/>
        </w:rPr>
      </w:r>
    </w:p>
    <w:p w:rsidR="00000000" w:rsidDel="00000000" w:rsidP="00000000" w:rsidRDefault="00000000" w:rsidRPr="00000000" w14:paraId="00000016">
      <w:pPr>
        <w:tabs>
          <w:tab w:val="right" w:leader="none" w:pos="9071"/>
        </w:tabs>
        <w:spacing w:after="0" w:line="240" w:lineRule="auto"/>
        <w:rPr>
          <w:b w:val="1"/>
          <w:bCs w:val="1"/>
          <w:sz w:val="16"/>
          <w:szCs w:val="16"/>
        </w:rPr>
      </w:pPr>
      <w:r w:rsidDel="00000000" w:rsidR="00000000" w:rsidRPr="00000000">
        <w:rPr>
          <w:b w:val="1"/>
          <w:bCs w:val="1"/>
          <w:sz w:val="16"/>
          <w:szCs w:val="16"/>
          <w:rtl w:val="0"/>
        </w:rPr>
        <w:t xml:space="preserve">DISCLAIMER</w:t>
      </w:r>
    </w:p>
    <w:p w:rsidR="00000000" w:rsidDel="00000000" w:rsidP="00000000" w:rsidRDefault="00000000" w:rsidRPr="00000000" w14:paraId="00000017">
      <w:pPr>
        <w:spacing w:after="200" w:before="60" w:line="240" w:lineRule="auto"/>
        <w:rPr>
          <w:sz w:val="28"/>
          <w:szCs w:val="28"/>
        </w:rPr>
      </w:pPr>
      <w:r w:rsidDel="00000000" w:rsidR="00000000" w:rsidRPr="00000000">
        <w:rPr>
          <w:sz w:val="14"/>
          <w:szCs w:val="14"/>
          <w:rtl w:val="0"/>
        </w:rPr>
        <w:t xml:space="preserve">Co-funded by the European Union. Views and opinions expressed are however those of the author(s) only and do not necessarily reflect those of the European Union or CINEA. Neither the European Union nor the granting authority can be held responsible for them.</w:t>
      </w:r>
      <w:r w:rsidDel="00000000" w:rsidR="00000000" w:rsidRPr="00000000">
        <w:rPr>
          <w:rtl w:val="0"/>
        </w:rPr>
      </w:r>
    </w:p>
    <w:p w:rsidR="00000000" w:rsidDel="00000000" w:rsidP="00000000" w:rsidRDefault="00000000" w:rsidRPr="00000000" w14:paraId="00000018">
      <w:pPr>
        <w:spacing w:after="0" w:lineRule="auto"/>
        <w:jc w:val="left"/>
        <w:rPr>
          <w:sz w:val="28"/>
          <w:szCs w:val="28"/>
        </w:rPr>
      </w:pPr>
      <w:r w:rsidDel="00000000" w:rsidR="00000000" w:rsidRPr="00000000">
        <w:rPr>
          <w:rtl w:val="0"/>
        </w:rPr>
      </w:r>
    </w:p>
    <w:p w:rsidR="00000000" w:rsidDel="00000000" w:rsidP="00000000" w:rsidRDefault="00000000" w:rsidRPr="00000000" w14:paraId="00000019">
      <w:pPr>
        <w:spacing w:after="0" w:lineRule="auto"/>
        <w:jc w:val="center"/>
        <w:rPr>
          <w:sz w:val="28"/>
          <w:szCs w:val="28"/>
        </w:rPr>
      </w:pPr>
      <w:r w:rsidDel="00000000" w:rsidR="00000000" w:rsidRPr="00000000">
        <w:rPr>
          <w:sz w:val="28"/>
          <w:szCs w:val="28"/>
        </w:rPr>
        <w:drawing>
          <wp:inline distB="19050" distT="19050" distL="19050" distR="19050">
            <wp:extent cx="787198" cy="375033"/>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87198" cy="375033"/>
                    </a:xfrm>
                    <a:prstGeom prst="rect"/>
                    <a:ln/>
                  </pic:spPr>
                </pic:pic>
              </a:graphicData>
            </a:graphic>
          </wp:inline>
        </w:drawing>
      </w:r>
      <w:r w:rsidDel="00000000" w:rsidR="00000000" w:rsidRPr="00000000">
        <w:rPr>
          <w:sz w:val="28"/>
          <w:szCs w:val="28"/>
        </w:rPr>
        <w:drawing>
          <wp:inline distB="19050" distT="19050" distL="19050" distR="19050">
            <wp:extent cx="623859" cy="623859"/>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23859" cy="623859"/>
                    </a:xfrm>
                    <a:prstGeom prst="rect"/>
                    <a:ln/>
                  </pic:spPr>
                </pic:pic>
              </a:graphicData>
            </a:graphic>
          </wp:inline>
        </w:drawing>
      </w:r>
      <w:r w:rsidDel="00000000" w:rsidR="00000000" w:rsidRPr="00000000">
        <w:rPr>
          <w:sz w:val="28"/>
          <w:szCs w:val="28"/>
        </w:rPr>
        <w:drawing>
          <wp:inline distB="19050" distT="19050" distL="19050" distR="19050">
            <wp:extent cx="565510" cy="600855"/>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65510" cy="600855"/>
                    </a:xfrm>
                    <a:prstGeom prst="rect"/>
                    <a:ln/>
                  </pic:spPr>
                </pic:pic>
              </a:graphicData>
            </a:graphic>
          </wp:inline>
        </w:drawing>
      </w:r>
      <w:r w:rsidDel="00000000" w:rsidR="00000000" w:rsidRPr="00000000">
        <w:rPr>
          <w:sz w:val="28"/>
          <w:szCs w:val="28"/>
        </w:rPr>
        <w:drawing>
          <wp:inline distB="19050" distT="19050" distL="19050" distR="19050">
            <wp:extent cx="933430" cy="430814"/>
            <wp:effectExtent b="0" l="0" r="0" t="0"/>
            <wp:docPr id="6" name="image9.png"/>
            <a:graphic>
              <a:graphicData uri="http://schemas.openxmlformats.org/drawingml/2006/picture">
                <pic:pic>
                  <pic:nvPicPr>
                    <pic:cNvPr id="0" name="image9.png"/>
                    <pic:cNvPicPr preferRelativeResize="0"/>
                  </pic:nvPicPr>
                  <pic:blipFill>
                    <a:blip r:embed="rId11"/>
                    <a:srcRect b="0" l="7768" r="6655" t="0"/>
                    <a:stretch>
                      <a:fillRect/>
                    </a:stretch>
                  </pic:blipFill>
                  <pic:spPr>
                    <a:xfrm>
                      <a:off x="0" y="0"/>
                      <a:ext cx="933430" cy="43081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Rule="auto"/>
        <w:jc w:val="center"/>
        <w:rPr/>
        <w:sectPr>
          <w:headerReference r:id="rId12" w:type="default"/>
          <w:headerReference r:id="rId13" w:type="first"/>
          <w:footerReference r:id="rId14" w:type="default"/>
          <w:footerReference r:id="rId15" w:type="first"/>
          <w:pgSz w:h="16838" w:w="11906" w:orient="portrait"/>
          <w:pgMar w:bottom="1417" w:top="1417" w:left="1417" w:right="1417" w:header="566" w:footer="566"/>
          <w:pgNumType w:start="1"/>
        </w:sectPr>
      </w:pPr>
      <w:r w:rsidDel="00000000" w:rsidR="00000000" w:rsidRPr="00000000">
        <w:rPr>
          <w:sz w:val="28"/>
          <w:szCs w:val="28"/>
        </w:rPr>
        <w:drawing>
          <wp:inline distB="114300" distT="114300" distL="114300" distR="114300">
            <wp:extent cx="1267142" cy="398915"/>
            <wp:effectExtent b="0" l="0" r="0" t="0"/>
            <wp:docPr id="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267142" cy="398915"/>
                    </a:xfrm>
                    <a:prstGeom prst="rect"/>
                    <a:ln/>
                  </pic:spPr>
                </pic:pic>
              </a:graphicData>
            </a:graphic>
          </wp:inline>
        </w:drawing>
      </w:r>
      <w:r w:rsidDel="00000000" w:rsidR="00000000" w:rsidRPr="00000000">
        <w:rPr>
          <w:sz w:val="28"/>
          <w:szCs w:val="28"/>
        </w:rPr>
        <w:drawing>
          <wp:inline distB="19050" distT="19050" distL="19050" distR="19050">
            <wp:extent cx="877146" cy="438573"/>
            <wp:effectExtent b="0" l="0" r="0" t="0"/>
            <wp:docPr id="8"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877146" cy="438573"/>
                    </a:xfrm>
                    <a:prstGeom prst="rect"/>
                    <a:ln/>
                  </pic:spPr>
                </pic:pic>
              </a:graphicData>
            </a:graphic>
          </wp:inline>
        </w:drawing>
      </w:r>
      <w:r w:rsidDel="00000000" w:rsidR="00000000" w:rsidRPr="00000000">
        <w:rPr>
          <w:sz w:val="28"/>
          <w:szCs w:val="28"/>
        </w:rPr>
        <w:drawing>
          <wp:inline distB="19050" distT="19050" distL="19050" distR="19050">
            <wp:extent cx="817347" cy="408674"/>
            <wp:effectExtent b="0" l="0" r="0" t="0"/>
            <wp:docPr id="11" name="image7.png"/>
            <a:graphic>
              <a:graphicData uri="http://schemas.openxmlformats.org/drawingml/2006/picture">
                <pic:pic>
                  <pic:nvPicPr>
                    <pic:cNvPr id="0" name="image7.png"/>
                    <pic:cNvPicPr preferRelativeResize="0"/>
                  </pic:nvPicPr>
                  <pic:blipFill>
                    <a:blip r:embed="rId18"/>
                    <a:srcRect b="0" l="0" r="0" t="3511"/>
                    <a:stretch>
                      <a:fillRect/>
                    </a:stretch>
                  </pic:blipFill>
                  <pic:spPr>
                    <a:xfrm>
                      <a:off x="0" y="0"/>
                      <a:ext cx="817347" cy="408674"/>
                    </a:xfrm>
                    <a:prstGeom prst="rect"/>
                    <a:ln/>
                  </pic:spPr>
                </pic:pic>
              </a:graphicData>
            </a:graphic>
          </wp:inline>
        </w:drawing>
      </w:r>
      <w:r w:rsidDel="00000000" w:rsidR="00000000" w:rsidRPr="00000000">
        <w:rPr>
          <w:sz w:val="28"/>
          <w:szCs w:val="28"/>
        </w:rPr>
        <w:drawing>
          <wp:inline distB="19050" distT="19050" distL="19050" distR="19050">
            <wp:extent cx="1056436" cy="339569"/>
            <wp:effectExtent b="0" l="0" r="0" t="0"/>
            <wp:docPr id="10" name="image1.png"/>
            <a:graphic>
              <a:graphicData uri="http://schemas.openxmlformats.org/drawingml/2006/picture">
                <pic:pic>
                  <pic:nvPicPr>
                    <pic:cNvPr id="0" name="image1.png"/>
                    <pic:cNvPicPr preferRelativeResize="0"/>
                  </pic:nvPicPr>
                  <pic:blipFill>
                    <a:blip r:embed="rId19"/>
                    <a:srcRect b="24138" l="0" r="0" t="28647"/>
                    <a:stretch>
                      <a:fillRect/>
                    </a:stretch>
                  </pic:blipFill>
                  <pic:spPr>
                    <a:xfrm>
                      <a:off x="0" y="0"/>
                      <a:ext cx="1056436" cy="33956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tabs>
          <w:tab w:val="right" w:leader="none" w:pos="9071"/>
          <w:tab w:val="right" w:leader="none" w:pos="8931"/>
        </w:tabs>
        <w:spacing w:after="0" w:before="240" w:lineRule="auto"/>
        <w:jc w:val="left"/>
        <w:rPr>
          <w:rFonts w:ascii="Calibri" w:cs="Calibri" w:eastAsia="Calibri" w:hAnsi="Calibri"/>
          <w:b w:val="1"/>
          <w:bCs w:val="1"/>
          <w:color w:val="0b5159"/>
          <w:sz w:val="40"/>
          <w:szCs w:val="40"/>
        </w:rPr>
      </w:pPr>
      <w:r w:rsidDel="00000000" w:rsidR="00000000" w:rsidRPr="00000000">
        <w:rPr>
          <w:rtl w:val="0"/>
        </w:rPr>
      </w:r>
    </w:p>
    <w:p w:rsidR="00000000" w:rsidDel="00000000" w:rsidP="00000000" w:rsidRDefault="00000000" w:rsidRPr="00000000" w14:paraId="0000001C">
      <w:pPr>
        <w:pStyle w:val="Heading1"/>
        <w:numPr>
          <w:ilvl w:val="0"/>
          <w:numId w:val="3"/>
        </w:numPr>
        <w:tabs>
          <w:tab w:val="right" w:leader="none" w:pos="9071"/>
          <w:tab w:val="right" w:leader="none" w:pos="9071"/>
        </w:tabs>
        <w:spacing w:line="360" w:lineRule="auto"/>
        <w:ind w:left="0" w:hanging="360"/>
        <w:rPr>
          <w:rFonts w:ascii="Calibri" w:cs="Calibri" w:eastAsia="Calibri" w:hAnsi="Calibri"/>
          <w:color w:val="0b5394"/>
          <w:sz w:val="28"/>
          <w:szCs w:val="28"/>
        </w:rPr>
      </w:pPr>
      <w:bookmarkStart w:colFirst="0" w:colLast="0" w:name="_heading=h.gjdgxs" w:id="0"/>
      <w:bookmarkEnd w:id="0"/>
      <w:r w:rsidDel="00000000" w:rsidR="00000000" w:rsidRPr="00000000">
        <w:rPr>
          <w:rFonts w:ascii="Calibri" w:cs="Calibri" w:eastAsia="Calibri" w:hAnsi="Calibri"/>
          <w:color w:val="0b5394"/>
          <w:sz w:val="28"/>
          <w:szCs w:val="28"/>
          <w:rtl w:val="0"/>
        </w:rPr>
        <w:t xml:space="preserve">Environmental and social action plan (ESAP)</w:t>
      </w:r>
    </w:p>
    <w:p w:rsidR="00000000" w:rsidDel="00000000" w:rsidP="00000000" w:rsidRDefault="00000000" w:rsidRPr="00000000" w14:paraId="0000001D">
      <w:pPr>
        <w:spacing w:line="360" w:lineRule="auto"/>
        <w:rPr>
          <w:rFonts w:ascii="Calibri" w:cs="Calibri" w:eastAsia="Calibri" w:hAnsi="Calibri"/>
        </w:rPr>
      </w:pPr>
      <w:r w:rsidDel="00000000" w:rsidR="00000000" w:rsidRPr="00000000">
        <w:rPr>
          <w:rFonts w:ascii="Calibri" w:cs="Calibri" w:eastAsia="Calibri" w:hAnsi="Calibri"/>
          <w:rtl w:val="0"/>
        </w:rPr>
        <w:t xml:space="preserve">The Environmental and Social Action Plan (ESAP) is a tool proposed to ensure that any outstanding environmental and social issues during the implementation of an energy community project is pre- assessed and monitored in a timely and appropriate manner, as well as to ensure continued compliance with environmental and social requirements and the requirements of national law.</w:t>
      </w:r>
    </w:p>
    <w:p w:rsidR="00000000" w:rsidDel="00000000" w:rsidP="00000000" w:rsidRDefault="00000000" w:rsidRPr="00000000" w14:paraId="0000001E">
      <w:pPr>
        <w:spacing w:after="240" w:before="240" w:line="360" w:lineRule="auto"/>
        <w:rPr/>
      </w:pPr>
      <w:r w:rsidDel="00000000" w:rsidR="00000000" w:rsidRPr="00000000">
        <w:rPr>
          <w:rtl w:val="0"/>
        </w:rPr>
        <w:t xml:space="preserve">The approach proposed is based on European Bank for Reconstruction and Development relative guidelines and template (</w:t>
      </w:r>
      <w:hyperlink r:id="rId20">
        <w:r w:rsidDel="00000000" w:rsidR="00000000" w:rsidRPr="00000000">
          <w:rPr>
            <w:color w:val="1155cc"/>
            <w:u w:val="single"/>
            <w:rtl w:val="0"/>
          </w:rPr>
          <w:t xml:space="preserve">https://www.ebrd.com/documents/environment/47336-esap.pdf</w:t>
        </w:r>
      </w:hyperlink>
      <w:r w:rsidDel="00000000" w:rsidR="00000000" w:rsidRPr="00000000">
        <w:rPr>
          <w:rtl w:val="0"/>
        </w:rPr>
        <w:t xml:space="preserve"> )</w:t>
      </w:r>
    </w:p>
    <w:p w:rsidR="00000000" w:rsidDel="00000000" w:rsidP="00000000" w:rsidRDefault="00000000" w:rsidRPr="00000000" w14:paraId="0000001F">
      <w:pPr>
        <w:spacing w:line="360" w:lineRule="auto"/>
        <w:rPr>
          <w:rFonts w:ascii="Calibri" w:cs="Calibri" w:eastAsia="Calibri" w:hAnsi="Calibri"/>
        </w:rPr>
      </w:pPr>
      <w:r w:rsidDel="00000000" w:rsidR="00000000" w:rsidRPr="00000000">
        <w:rPr>
          <w:rFonts w:ascii="Calibri" w:cs="Calibri" w:eastAsia="Calibri" w:hAnsi="Calibri"/>
          <w:rtl w:val="0"/>
        </w:rPr>
        <w:t xml:space="preserve">The environmental and social action plan includes measures that the energy community is currently implementing or plans to implement to reduce the environmental, occupational, health and safety impacts that occur during the construction, operation, and decommissioning phases.</w:t>
      </w:r>
    </w:p>
    <w:p w:rsidR="00000000" w:rsidDel="00000000" w:rsidP="00000000" w:rsidRDefault="00000000" w:rsidRPr="00000000" w14:paraId="00000020">
      <w:pPr>
        <w:spacing w:line="360" w:lineRule="auto"/>
        <w:rPr>
          <w:rFonts w:ascii="Calibri" w:cs="Calibri" w:eastAsia="Calibri" w:hAnsi="Calibri"/>
        </w:rPr>
      </w:pPr>
      <w:r w:rsidDel="00000000" w:rsidR="00000000" w:rsidRPr="00000000">
        <w:rPr>
          <w:rFonts w:ascii="Calibri" w:cs="Calibri" w:eastAsia="Calibri" w:hAnsi="Calibri"/>
          <w:rtl w:val="0"/>
        </w:rPr>
        <w:t xml:space="preserve">The Environmental and Social Action Plan addresses the following issues:</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mechanisms of environmental and social management of the energy community, which are used to identify environmental and social risks, impacts and opportunities associated with its activities and financed operations, in particular, as well as how to manage these risks and impacts,</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working conditions and attitudes towards people in the working environment on the basis of their rights to volunteer work, decent and fair treatment, non-discrimination, equal opportunities, minimum working age, freedom of association and the right to bargain collectively, occupational health and safety workplace,</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measures taken to prevent and reduce pollution and how efficiently resources are used,</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potential problems related to the energy community and its activities, functioning, in particular, affecting local communities, their health and safety,</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issues related to land acquisition, forced relocation and economic relocation,</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impacts on biodiversity, ecosystem services and sustainable use of living natural resources and measures to manage and mitigate these impacts,</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protection of any cultural heritage that may be affected by the activities and / or activities of the energy community.</w:t>
      </w:r>
    </w:p>
    <w:p w:rsidR="00000000" w:rsidDel="00000000" w:rsidP="00000000" w:rsidRDefault="00000000" w:rsidRPr="00000000" w14:paraId="00000028">
      <w:pPr>
        <w:spacing w:line="360" w:lineRule="auto"/>
        <w:rPr/>
      </w:pPr>
      <w:r w:rsidDel="00000000" w:rsidR="00000000" w:rsidRPr="00000000">
        <w:rPr>
          <w:rtl w:val="0"/>
        </w:rPr>
      </w:r>
    </w:p>
    <w:p w:rsidR="00000000" w:rsidDel="00000000" w:rsidP="00000000" w:rsidRDefault="00000000" w:rsidRPr="00000000" w14:paraId="00000029">
      <w:pPr>
        <w:spacing w:line="360" w:lineRule="auto"/>
        <w:rPr>
          <w:rFonts w:ascii="Calibri" w:cs="Calibri" w:eastAsia="Calibri" w:hAnsi="Calibri"/>
        </w:rPr>
      </w:pPr>
      <w:r w:rsidDel="00000000" w:rsidR="00000000" w:rsidRPr="00000000">
        <w:rPr>
          <w:rFonts w:ascii="Calibri" w:cs="Calibri" w:eastAsia="Calibri" w:hAnsi="Calibri"/>
          <w:rtl w:val="0"/>
        </w:rPr>
        <w:t xml:space="preserve">The ESAP is developed in tabular form (sample table 1) and it includes the following key elements: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Action / Problem,</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Required reason / objective,</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Deadline / deadline for completion,</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Responsible person / unit to perform the task,</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Cost / financing,</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sectPr>
          <w:type w:val="nextPage"/>
          <w:pgSz w:h="16838" w:w="11906" w:orient="portrait"/>
          <w:pgMar w:bottom="1417" w:top="1417" w:left="1417" w:right="1145" w:header="453" w:footer="453"/>
        </w:sect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Other information or comments.</w:t>
      </w:r>
    </w:p>
    <w:p w:rsidR="00000000" w:rsidDel="00000000" w:rsidP="00000000" w:rsidRDefault="00000000" w:rsidRPr="00000000" w14:paraId="00000030">
      <w:pPr>
        <w:jc w:val="center"/>
        <w:rPr>
          <w:rFonts w:ascii="Calibri" w:cs="Calibri" w:eastAsia="Calibri" w:hAnsi="Calibri"/>
          <w:b w:val="1"/>
          <w:bCs w:val="1"/>
          <w:color w:val="0b5394"/>
          <w:sz w:val="24"/>
          <w:szCs w:val="24"/>
        </w:rPr>
      </w:pPr>
      <w:r w:rsidDel="00000000" w:rsidR="00000000" w:rsidRPr="00000000">
        <w:rPr>
          <w:rFonts w:ascii="Calibri" w:cs="Calibri" w:eastAsia="Calibri" w:hAnsi="Calibri"/>
          <w:b w:val="1"/>
          <w:bCs w:val="1"/>
          <w:color w:val="0b5394"/>
          <w:sz w:val="24"/>
          <w:szCs w:val="24"/>
          <w:rtl w:val="0"/>
        </w:rPr>
        <w:t xml:space="preserve">Table 1. Template for developing an ESAP</w:t>
      </w:r>
    </w:p>
    <w:p w:rsidR="00000000" w:rsidDel="00000000" w:rsidP="00000000" w:rsidRDefault="00000000" w:rsidRPr="00000000" w14:paraId="00000031">
      <w:pPr>
        <w:rPr>
          <w:rFonts w:ascii="Calibri" w:cs="Calibri" w:eastAsia="Calibri" w:hAnsi="Calibri"/>
        </w:rPr>
      </w:pPr>
      <w:r w:rsidDel="00000000" w:rsidR="00000000" w:rsidRPr="00000000">
        <w:rPr>
          <w:rtl w:val="0"/>
        </w:rPr>
      </w:r>
    </w:p>
    <w:tbl>
      <w:tblPr>
        <w:tblStyle w:val="Table1"/>
        <w:tblW w:w="13995.0" w:type="dxa"/>
        <w:jc w:val="left"/>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00"/>
      </w:tblPr>
      <w:tblGrid>
        <w:gridCol w:w="1530"/>
        <w:gridCol w:w="1755"/>
        <w:gridCol w:w="1995"/>
        <w:gridCol w:w="2040"/>
        <w:gridCol w:w="1665"/>
        <w:gridCol w:w="1905"/>
        <w:gridCol w:w="1605"/>
        <w:gridCol w:w="1500"/>
        <w:tblGridChange w:id="0">
          <w:tblGrid>
            <w:gridCol w:w="1530"/>
            <w:gridCol w:w="1755"/>
            <w:gridCol w:w="1995"/>
            <w:gridCol w:w="2040"/>
            <w:gridCol w:w="1665"/>
            <w:gridCol w:w="1905"/>
            <w:gridCol w:w="1605"/>
            <w:gridCol w:w="1500"/>
          </w:tblGrid>
        </w:tblGridChange>
      </w:tblGrid>
      <w:tr>
        <w:trPr>
          <w:cantSplit w:val="0"/>
          <w:tblHeader w:val="0"/>
        </w:trPr>
        <w:tc>
          <w:tcPr>
            <w:shd w:fill="95b3d7" w:val="clear"/>
          </w:tcPr>
          <w:p w:rsidR="00000000" w:rsidDel="00000000" w:rsidP="00000000" w:rsidRDefault="00000000" w:rsidRPr="00000000" w14:paraId="0000003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No</w:t>
            </w:r>
          </w:p>
        </w:tc>
        <w:tc>
          <w:tcPr>
            <w:shd w:fill="95b3d7" w:val="clear"/>
          </w:tcPr>
          <w:p w:rsidR="00000000" w:rsidDel="00000000" w:rsidP="00000000" w:rsidRDefault="00000000" w:rsidRPr="00000000" w14:paraId="0000003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Action</w:t>
            </w:r>
          </w:p>
        </w:tc>
        <w:tc>
          <w:tcPr>
            <w:shd w:fill="95b3d7" w:val="clear"/>
          </w:tcPr>
          <w:p w:rsidR="00000000" w:rsidDel="00000000" w:rsidP="00000000" w:rsidRDefault="00000000" w:rsidRPr="00000000" w14:paraId="0000003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Responsibility for environment risks/benefits</w:t>
            </w:r>
          </w:p>
        </w:tc>
        <w:tc>
          <w:tcPr>
            <w:shd w:fill="95b3d7" w:val="clear"/>
          </w:tcPr>
          <w:p w:rsidR="00000000" w:rsidDel="00000000" w:rsidP="00000000" w:rsidRDefault="00000000" w:rsidRPr="00000000" w14:paraId="0000003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Legislative requirements / Best practices</w:t>
            </w:r>
          </w:p>
        </w:tc>
        <w:tc>
          <w:tcPr>
            <w:shd w:fill="95b3d7" w:val="clear"/>
          </w:tcPr>
          <w:p w:rsidR="00000000" w:rsidDel="00000000" w:rsidP="00000000" w:rsidRDefault="00000000" w:rsidRPr="00000000" w14:paraId="0000003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Investment needs/ Resources / Responsible</w:t>
            </w:r>
          </w:p>
        </w:tc>
        <w:tc>
          <w:tcPr>
            <w:shd w:fill="95b3d7" w:val="clear"/>
          </w:tcPr>
          <w:p w:rsidR="00000000" w:rsidDel="00000000" w:rsidP="00000000" w:rsidRDefault="00000000" w:rsidRPr="00000000" w14:paraId="0000003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Deadline for implementation</w:t>
            </w:r>
          </w:p>
        </w:tc>
        <w:tc>
          <w:tcPr>
            <w:shd w:fill="95b3d7" w:val="clear"/>
          </w:tcPr>
          <w:p w:rsidR="00000000" w:rsidDel="00000000" w:rsidP="00000000" w:rsidRDefault="00000000" w:rsidRPr="00000000" w14:paraId="0000003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Objectives and criteria for evaluating successful implementation</w:t>
            </w:r>
          </w:p>
        </w:tc>
        <w:tc>
          <w:tcPr>
            <w:shd w:fill="95b3d7" w:val="clear"/>
          </w:tcPr>
          <w:p w:rsidR="00000000" w:rsidDel="00000000" w:rsidP="00000000" w:rsidRDefault="00000000" w:rsidRPr="00000000" w14:paraId="0000003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Status</w:t>
            </w:r>
          </w:p>
        </w:tc>
      </w:tr>
      <w:tr>
        <w:trPr>
          <w:cantSplit w:val="0"/>
          <w:tblHeader w:val="0"/>
        </w:trPr>
        <w:tc>
          <w:tcPr>
            <w:gridSpan w:val="8"/>
            <w:shd w:fill="dbe5f1" w:val="clear"/>
          </w:tcPr>
          <w:p w:rsidR="00000000" w:rsidDel="00000000" w:rsidP="00000000" w:rsidRDefault="00000000" w:rsidRPr="00000000" w14:paraId="0000003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1. Management system in the field of ecology and labour protection</w:t>
            </w:r>
          </w:p>
        </w:tc>
      </w:tr>
      <w:tr>
        <w:trPr>
          <w:cantSplit w:val="0"/>
          <w:tblHeader w:val="0"/>
        </w:trPr>
        <w:tc>
          <w:tcPr/>
          <w:p w:rsidR="00000000" w:rsidDel="00000000" w:rsidP="00000000" w:rsidRDefault="00000000" w:rsidRPr="00000000" w14:paraId="0000004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9">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4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1">
            <w:pPr>
              <w:rPr>
                <w:rFonts w:ascii="Calibri" w:cs="Calibri" w:eastAsia="Calibri" w:hAnsi="Calibri"/>
              </w:rPr>
            </w:pPr>
            <w:r w:rsidDel="00000000" w:rsidR="00000000" w:rsidRPr="00000000">
              <w:rPr>
                <w:rtl w:val="0"/>
              </w:rPr>
            </w:r>
          </w:p>
        </w:tc>
      </w:tr>
      <w:tr>
        <w:trPr>
          <w:cantSplit w:val="0"/>
          <w:tblHeader w:val="0"/>
        </w:trPr>
        <w:tc>
          <w:tcPr>
            <w:gridSpan w:val="8"/>
            <w:shd w:fill="dbe5f1" w:val="clear"/>
          </w:tcPr>
          <w:p w:rsidR="00000000" w:rsidDel="00000000" w:rsidP="00000000" w:rsidRDefault="00000000" w:rsidRPr="00000000" w14:paraId="0000005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2. Environmental protection.</w:t>
            </w:r>
          </w:p>
        </w:tc>
      </w:tr>
      <w:tr>
        <w:trPr>
          <w:cantSplit w:val="0"/>
          <w:tblHeader w:val="0"/>
        </w:trPr>
        <w:tc>
          <w:tcPr/>
          <w:p w:rsidR="00000000" w:rsidDel="00000000" w:rsidP="00000000" w:rsidRDefault="00000000" w:rsidRPr="00000000" w14:paraId="0000005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1">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9">
            <w:pPr>
              <w:rPr>
                <w:rFonts w:ascii="Calibri" w:cs="Calibri" w:eastAsia="Calibri" w:hAnsi="Calibri"/>
              </w:rPr>
            </w:pPr>
            <w:r w:rsidDel="00000000" w:rsidR="00000000" w:rsidRPr="00000000">
              <w:rPr>
                <w:rtl w:val="0"/>
              </w:rPr>
            </w:r>
          </w:p>
        </w:tc>
      </w:tr>
      <w:tr>
        <w:trPr>
          <w:cantSplit w:val="0"/>
          <w:tblHeader w:val="0"/>
        </w:trPr>
        <w:tc>
          <w:tcPr>
            <w:gridSpan w:val="8"/>
            <w:shd w:fill="dbe5f1" w:val="clear"/>
          </w:tcPr>
          <w:p w:rsidR="00000000" w:rsidDel="00000000" w:rsidP="00000000" w:rsidRDefault="00000000" w:rsidRPr="00000000" w14:paraId="0000006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3. Labour protection, and security</w:t>
            </w:r>
          </w:p>
        </w:tc>
      </w:tr>
      <w:tr>
        <w:trPr>
          <w:cantSplit w:val="0"/>
          <w:tblHeader w:val="0"/>
        </w:trPr>
        <w:tc>
          <w:tcPr/>
          <w:p w:rsidR="00000000" w:rsidDel="00000000" w:rsidP="00000000" w:rsidRDefault="00000000" w:rsidRPr="00000000" w14:paraId="0000007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9">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1">
            <w:pPr>
              <w:rPr>
                <w:rFonts w:ascii="Calibri" w:cs="Calibri" w:eastAsia="Calibri" w:hAnsi="Calibri"/>
              </w:rPr>
            </w:pPr>
            <w:r w:rsidDel="00000000" w:rsidR="00000000" w:rsidRPr="00000000">
              <w:rPr>
                <w:rtl w:val="0"/>
              </w:rPr>
            </w:r>
          </w:p>
        </w:tc>
      </w:tr>
      <w:tr>
        <w:trPr>
          <w:cantSplit w:val="0"/>
          <w:tblHeader w:val="0"/>
        </w:trPr>
        <w:tc>
          <w:tcPr>
            <w:gridSpan w:val="8"/>
            <w:shd w:fill="dbe5f1" w:val="clear"/>
          </w:tcPr>
          <w:p w:rsidR="00000000" w:rsidDel="00000000" w:rsidP="00000000" w:rsidRDefault="00000000" w:rsidRPr="00000000" w14:paraId="0000008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4. Social issues (health, safety, and security of local communities).</w:t>
            </w:r>
          </w:p>
        </w:tc>
      </w:tr>
      <w:tr>
        <w:trPr>
          <w:cantSplit w:val="0"/>
          <w:tblHeader w:val="0"/>
        </w:trPr>
        <w:tc>
          <w:tcPr/>
          <w:p w:rsidR="00000000" w:rsidDel="00000000" w:rsidP="00000000" w:rsidRDefault="00000000" w:rsidRPr="00000000" w14:paraId="0000008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1">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99">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9A">
      <w:pPr>
        <w:rPr>
          <w:rFonts w:ascii="Calibri" w:cs="Calibri" w:eastAsia="Calibri" w:hAnsi="Calibri"/>
        </w:rPr>
      </w:pPr>
      <w:r w:rsidDel="00000000" w:rsidR="00000000" w:rsidRPr="00000000">
        <w:rPr>
          <w:rtl w:val="0"/>
        </w:rPr>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tl w:val="0"/>
        </w:rPr>
      </w:r>
    </w:p>
    <w:sectPr>
      <w:type w:val="nextPage"/>
      <w:pgSz w:h="11906" w:w="16838" w:orient="landscape"/>
      <w:pgMar w:bottom="1417" w:top="1145" w:left="1417" w:right="1417" w:header="453" w:footer="45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ontserrat ExtraBold">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line="276" w:lineRule="auto"/>
      <w:jc w:val="left"/>
      <w:rPr>
        <w:color w:val="1155cc"/>
        <w:u w:val="singl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left"/>
      <w:rPr/>
    </w:pPr>
    <w:r w:rsidDel="00000000" w:rsidR="00000000" w:rsidRPr="00000000">
      <w:rPr>
        <w:rtl w:val="0"/>
      </w:rPr>
      <w:tab/>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tabs>
        <w:tab w:val="center" w:leader="none" w:pos="4536"/>
        <w:tab w:val="right" w:leader="none" w:pos="9072"/>
      </w:tabs>
      <w:spacing w:after="0" w:line="240" w:lineRule="auto"/>
      <w:jc w:val="left"/>
      <w:rPr>
        <w:color w:val="1155cc"/>
        <w:u w:val="single"/>
      </w:rPr>
    </w:pPr>
    <w:r w:rsidDel="00000000" w:rsidR="00000000" w:rsidRPr="00000000">
      <w:rPr>
        <w:rFonts w:ascii="Montserrat Light" w:cs="Montserrat Light" w:eastAsia="Montserrat Light" w:hAnsi="Montserrat Light"/>
        <w:color w:val="0b5159"/>
        <w:sz w:val="18"/>
        <w:szCs w:val="18"/>
        <w:rtl w:val="0"/>
      </w:rPr>
      <w:t xml:space="preserve">LIFE-2021-CET-ENERCOM                                                                                                                          Page </w:t>
    </w:r>
    <w:r w:rsidDel="00000000" w:rsidR="00000000" w:rsidRPr="00000000">
      <w:rPr>
        <w:rFonts w:ascii="Montserrat Light" w:cs="Montserrat Light" w:eastAsia="Montserrat Light" w:hAnsi="Montserrat Light"/>
        <w:color w:val="0b5159"/>
        <w:sz w:val="18"/>
        <w:szCs w:val="18"/>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color w:val="0b5159"/>
        <w:sz w:val="18"/>
        <w:szCs w:val="18"/>
        <w:rtl w:val="0"/>
      </w:rPr>
      <w:t xml:space="preserve"> of </w:t>
    </w:r>
    <w:r w:rsidDel="00000000" w:rsidR="00000000" w:rsidRPr="00000000">
      <w:rPr>
        <w:rFonts w:ascii="Montserrat Light" w:cs="Montserrat Light" w:eastAsia="Montserrat Light" w:hAnsi="Montserrat Light"/>
        <w:color w:val="0b5159"/>
        <w:sz w:val="18"/>
        <w:szCs w:val="18"/>
      </w:rPr>
      <w:fldChar w:fldCharType="begin"/>
      <w:instrText xml:space="preserve">NUMPAGES</w:instrText>
      <w:fldChar w:fldCharType="separate"/>
      <w:fldChar w:fldCharType="end"/>
    </w:r>
    <w:r w:rsidDel="00000000" w:rsidR="00000000" w:rsidRPr="00000000">
      <w:rPr>
        <w:rtl w:val="0"/>
      </w:rPr>
      <w:tab/>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left"/>
      <w:rPr>
        <w:color w:val="000000"/>
      </w:rPr>
    </w:pPr>
    <w:r w:rsidDel="00000000" w:rsidR="00000000" w:rsidRPr="00000000">
      <w:rPr>
        <w:rtl w:val="0"/>
      </w:rPr>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after="0" w:line="276" w:lineRule="auto"/>
      <w:jc w:val="right"/>
      <w:rPr/>
    </w:pPr>
    <w:r w:rsidDel="00000000" w:rsidR="00000000" w:rsidRPr="00000000">
      <w:rPr>
        <w:rtl w:val="0"/>
      </w:rPr>
    </w:r>
  </w:p>
  <w:tbl>
    <w:tblPr>
      <w:tblStyle w:val="Table2"/>
      <w:tblW w:w="918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88"/>
      <w:tblGridChange w:id="0">
        <w:tblGrid>
          <w:gridCol w:w="9188"/>
        </w:tblGrid>
      </w:tblGridChange>
    </w:tblGrid>
    <w:tr>
      <w:trPr>
        <w:cantSplit w:val="0"/>
        <w:tblHeader w:val="0"/>
      </w:trPr>
      <w:tc>
        <w:tcPr>
          <w:shd w:fill="ffffff" w:val="clear"/>
        </w:tcPr>
        <w:p w:rsidR="00000000" w:rsidDel="00000000" w:rsidP="00000000" w:rsidRDefault="00000000" w:rsidRPr="00000000" w14:paraId="000000A9">
          <w:pPr>
            <w:jc w:val="center"/>
            <w:rPr>
              <w:rFonts w:ascii="Calibri" w:cs="Calibri" w:eastAsia="Calibri" w:hAnsi="Calibri"/>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AA">
          <w:pPr>
            <w:tabs>
              <w:tab w:val="center" w:leader="none" w:pos="4536"/>
              <w:tab w:val="right" w:leader="none" w:pos="9072"/>
            </w:tabs>
            <w:jc w:val="center"/>
            <w:rPr>
              <w:rFonts w:ascii="Calibri" w:cs="Calibri" w:eastAsia="Calibri" w:hAnsi="Calibri"/>
              <w:highlight w:val="white"/>
            </w:rPr>
          </w:pPr>
          <w:r w:rsidDel="00000000" w:rsidR="00000000" w:rsidRPr="00000000">
            <w:rPr>
              <w:rtl w:val="0"/>
            </w:rPr>
          </w:r>
        </w:p>
      </w:tc>
    </w:tr>
  </w:tbl>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1155cc"/>
        <w:u w:val="singl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line="276" w:lineRule="auto"/>
      <w:jc w:val="lef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-533398</wp:posOffset>
          </wp:positionH>
          <wp:positionV relativeFrom="paragraph">
            <wp:posOffset>57150</wp:posOffset>
          </wp:positionV>
          <wp:extent cx="600075" cy="485775"/>
          <wp:effectExtent b="0" l="0" r="0" t="0"/>
          <wp:wrapNone/>
          <wp:docPr id="2" name="image10.jpg"/>
          <a:graphic>
            <a:graphicData uri="http://schemas.openxmlformats.org/drawingml/2006/picture">
              <pic:pic>
                <pic:nvPicPr>
                  <pic:cNvPr id="0" name="image10.jpg"/>
                  <pic:cNvPicPr preferRelativeResize="0"/>
                </pic:nvPicPr>
                <pic:blipFill>
                  <a:blip r:embed="rId1"/>
                  <a:srcRect b="0" l="12675" r="11267" t="0"/>
                  <a:stretch>
                    <a:fillRect/>
                  </a:stretch>
                </pic:blipFill>
                <pic:spPr>
                  <a:xfrm>
                    <a:off x="0" y="0"/>
                    <a:ext cx="600075" cy="4857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5648325</wp:posOffset>
          </wp:positionH>
          <wp:positionV relativeFrom="paragraph">
            <wp:posOffset>57150</wp:posOffset>
          </wp:positionV>
          <wp:extent cx="621340" cy="368592"/>
          <wp:effectExtent b="0" l="0" r="0" t="0"/>
          <wp:wrapNone/>
          <wp:docPr id="3" name="image6.png"/>
          <a:graphic>
            <a:graphicData uri="http://schemas.openxmlformats.org/drawingml/2006/picture">
              <pic:pic>
                <pic:nvPicPr>
                  <pic:cNvPr id="0" name="image6.png"/>
                  <pic:cNvPicPr preferRelativeResize="0"/>
                </pic:nvPicPr>
                <pic:blipFill>
                  <a:blip r:embed="rId2"/>
                  <a:srcRect b="0" l="0" r="70810" t="0"/>
                  <a:stretch>
                    <a:fillRect/>
                  </a:stretch>
                </pic:blipFill>
                <pic:spPr>
                  <a:xfrm>
                    <a:off x="0" y="0"/>
                    <a:ext cx="621340" cy="368592"/>
                  </a:xfrm>
                  <a:prstGeom prst="rect"/>
                  <a:ln/>
                </pic:spPr>
              </pic:pic>
            </a:graphicData>
          </a:graphic>
        </wp:anchor>
      </w:drawing>
    </w:r>
  </w:p>
  <w:p w:rsidR="00000000" w:rsidDel="00000000" w:rsidP="00000000" w:rsidRDefault="00000000" w:rsidRPr="00000000" w14:paraId="0000009E">
    <w:pPr>
      <w:widowControl w:val="0"/>
      <w:spacing w:after="0" w:line="240" w:lineRule="auto"/>
      <w:jc w:val="center"/>
      <w:rPr/>
    </w:pPr>
    <w:r w:rsidDel="00000000" w:rsidR="00000000" w:rsidRPr="00000000">
      <w:rPr>
        <w:rFonts w:ascii="Montserrat Light" w:cs="Montserrat Light" w:eastAsia="Montserrat Light" w:hAnsi="Montserrat Light"/>
        <w:color w:val="0b5159"/>
        <w:sz w:val="18"/>
        <w:szCs w:val="18"/>
        <w:rtl w:val="0"/>
      </w:rPr>
      <w:t xml:space="preserve">Co-funded by the European Union</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after="0" w:line="276" w:lineRule="auto"/>
      <w:jc w:val="left"/>
      <w:rPr>
        <w:color w:val="808080"/>
        <w:sz w:val="28"/>
        <w:szCs w:val="28"/>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color w:val="f68d3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right" w:leader="none" w:pos="9071"/>
      </w:tabs>
      <w:spacing w:before="80" w:line="240" w:lineRule="auto"/>
      <w:ind w:left="720" w:hanging="360"/>
    </w:pPr>
    <w:rPr>
      <w:b w:val="1"/>
      <w:bCs w:val="1"/>
      <w:color w:val="0b5159"/>
      <w:sz w:val="40"/>
      <w:szCs w:val="40"/>
    </w:rPr>
  </w:style>
  <w:style w:type="paragraph" w:styleId="Heading2">
    <w:name w:val="heading 2"/>
    <w:basedOn w:val="Normal"/>
    <w:next w:val="Normal"/>
    <w:pPr>
      <w:keepNext w:val="1"/>
      <w:keepLines w:val="1"/>
      <w:tabs>
        <w:tab w:val="right" w:leader="none" w:pos="9071"/>
      </w:tabs>
      <w:ind w:left="1440" w:hanging="360"/>
    </w:pPr>
    <w:rPr>
      <w:b w:val="1"/>
      <w:bCs w:val="1"/>
      <w:color w:val="f68d3b"/>
      <w:sz w:val="36"/>
      <w:szCs w:val="36"/>
    </w:rPr>
  </w:style>
  <w:style w:type="paragraph" w:styleId="Heading3">
    <w:name w:val="heading 3"/>
    <w:basedOn w:val="Normal"/>
    <w:next w:val="Normal"/>
    <w:pPr>
      <w:keepNext w:val="1"/>
      <w:keepLines w:val="1"/>
      <w:tabs>
        <w:tab w:val="right" w:leader="none" w:pos="9071"/>
      </w:tabs>
      <w:ind w:left="1260" w:hanging="360"/>
    </w:pPr>
    <w:rPr>
      <w:b w:val="1"/>
      <w:bCs w:val="1"/>
      <w:color w:val="537ea9"/>
      <w:sz w:val="32"/>
      <w:szCs w:val="32"/>
    </w:rPr>
  </w:style>
  <w:style w:type="paragraph" w:styleId="Heading4">
    <w:name w:val="heading 4"/>
    <w:basedOn w:val="Normal"/>
    <w:next w:val="Normal"/>
    <w:pPr>
      <w:keepNext w:val="1"/>
      <w:keepLines w:val="1"/>
      <w:tabs>
        <w:tab w:val="right" w:leader="none" w:pos="9071"/>
      </w:tabs>
      <w:ind w:left="1530" w:hanging="360"/>
    </w:pPr>
    <w:rPr>
      <w:b w:val="1"/>
      <w:bCs w:val="1"/>
      <w:color w:val="f0bb64"/>
      <w:sz w:val="30"/>
      <w:szCs w:val="30"/>
    </w:rPr>
  </w:style>
  <w:style w:type="paragraph" w:styleId="Heading5">
    <w:name w:val="heading 5"/>
    <w:basedOn w:val="Normal"/>
    <w:next w:val="Normal"/>
    <w:pPr>
      <w:keepNext w:val="1"/>
      <w:keepLines w:val="1"/>
      <w:spacing w:after="0" w:before="40" w:lineRule="auto"/>
      <w:ind w:left="1008" w:hanging="1008"/>
    </w:pPr>
    <w:rPr>
      <w:color w:val="2e75b5"/>
    </w:rPr>
  </w:style>
  <w:style w:type="paragraph" w:styleId="Heading6">
    <w:name w:val="heading 6"/>
    <w:basedOn w:val="Normal"/>
    <w:next w:val="Normal"/>
    <w:pPr>
      <w:keepNext w:val="1"/>
      <w:keepLines w:val="1"/>
      <w:spacing w:after="0" w:before="40" w:lineRule="auto"/>
      <w:ind w:left="1152" w:hanging="1152"/>
    </w:pPr>
    <w:rPr>
      <w:color w:val="1e4d78"/>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72"/>
      <w:szCs w:val="72"/>
    </w:rPr>
  </w:style>
  <w:style w:type="paragraph" w:styleId="Subtitle">
    <w:name w:val="Subtitle"/>
    <w:basedOn w:val="Normal"/>
    <w:next w:val="Normal"/>
    <w:pPr>
      <w:pBdr>
        <w:top w:space="0" w:sz="0" w:val="nil"/>
        <w:left w:space="0" w:sz="0" w:val="nil"/>
        <w:bottom w:space="0" w:sz="0" w:val="nil"/>
        <w:right w:space="0" w:sz="0" w:val="nil"/>
        <w:between w:space="0" w:sz="0" w:val="nil"/>
      </w:pBdr>
      <w:jc w:val="left"/>
    </w:pPr>
    <w:rPr>
      <w:color w:val="5a5a5a"/>
      <w:sz w:val="28"/>
      <w:szCs w:val="28"/>
    </w:rPr>
  </w:style>
  <w:style w:type="table" w:styleId="Table1">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2">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ebrd.com/documents/environment/47336-esap.pdf" TargetMode="External"/><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10.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ExtraBold-bold.ttf"/><Relationship Id="rId10" Type="http://schemas.openxmlformats.org/officeDocument/2006/relationships/font" Target="fonts/NotoSansSymbols-bold.ttf"/><Relationship Id="rId12" Type="http://schemas.openxmlformats.org/officeDocument/2006/relationships/font" Target="fonts/MontserratExtraBold-boldItalic.ttf"/><Relationship Id="rId9" Type="http://schemas.openxmlformats.org/officeDocument/2006/relationships/font" Target="fonts/NotoSansSymbols-regular.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g2ndpQrA3CsKFogeKQ2ljVboQ==">CgMxLjAyCGguZ2pkZ3hzOAByITE4S1VUT1RhUHN1cVBTQkRJQ0ZmbnUyUHpEUERVZmNlYg==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0x0101007ED7398ECD9F0E4E85A4CB08ED0D71F7</vt:lpwstr>
  </property>
  <property fmtid="{D5CDD505-2E9C-101B-9397-08002B2CF9AE}" pid="3" name="MediaServiceImageTags">
    <vt:lpwstr>MediaServiceImageTags</vt:lpwstr>
  </property>
  <property fmtid="{D5CDD505-2E9C-101B-9397-08002B2CF9AE}" pid="4" name="MSIP_Label_797ad33d-ed35-43c0-b526-22bc83c17deb_Enabled">
    <vt:lpwstr>true</vt:lpwstr>
  </property>
  <property fmtid="{D5CDD505-2E9C-101B-9397-08002B2CF9AE}" pid="5" name="MSIP_Label_797ad33d-ed35-43c0-b526-22bc83c17deb_SetDate">
    <vt:lpwstr>2022-09-12T08:35:16Z</vt:lpwstr>
  </property>
  <property fmtid="{D5CDD505-2E9C-101B-9397-08002B2CF9AE}" pid="6" name="MSIP_Label_797ad33d-ed35-43c0-b526-22bc83c17deb_Method">
    <vt:lpwstr>Standard</vt:lpwstr>
  </property>
  <property fmtid="{D5CDD505-2E9C-101B-9397-08002B2CF9AE}" pid="7" name="MSIP_Label_797ad33d-ed35-43c0-b526-22bc83c17deb_Name">
    <vt:lpwstr>797ad33d-ed35-43c0-b526-22bc83c17deb</vt:lpwstr>
  </property>
  <property fmtid="{D5CDD505-2E9C-101B-9397-08002B2CF9AE}" pid="8" name="MSIP_Label_797ad33d-ed35-43c0-b526-22bc83c17deb_SiteId">
    <vt:lpwstr>d539d4bf-5610-471a-afc2-1c76685cfefa</vt:lpwstr>
  </property>
  <property fmtid="{D5CDD505-2E9C-101B-9397-08002B2CF9AE}" pid="9" name="MSIP_Label_797ad33d-ed35-43c0-b526-22bc83c17deb_ActionId">
    <vt:lpwstr>54b8d7f0-19bc-49bd-871f-e2eb9452e28a</vt:lpwstr>
  </property>
  <property fmtid="{D5CDD505-2E9C-101B-9397-08002B2CF9AE}" pid="10" name="MSIP_Label_797ad33d-ed35-43c0-b526-22bc83c17deb_ContentBits">
    <vt:lpwstr>1</vt:lpwstr>
  </property>
</Properties>
</file>